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1D5" w:rsidRDefault="00034E63">
      <w:pPr>
        <w:tabs>
          <w:tab w:val="left" w:pos="-284"/>
        </w:tabs>
        <w:spacing w:after="0" w:line="240" w:lineRule="auto"/>
        <w:ind w:left="-142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ИЗВЕЩЕНИЕ</w:t>
      </w:r>
    </w:p>
    <w:p w:rsidR="00E511D5" w:rsidRDefault="00034E63">
      <w:pPr>
        <w:tabs>
          <w:tab w:val="left" w:pos="-284"/>
        </w:tabs>
        <w:spacing w:after="0" w:line="240" w:lineRule="auto"/>
        <w:ind w:left="-142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 предстоящем переходе покупателей электрической энергии</w:t>
      </w:r>
    </w:p>
    <w:p w:rsidR="00E511D5" w:rsidRDefault="00034E63">
      <w:pPr>
        <w:tabs>
          <w:tab w:val="left" w:pos="-284"/>
        </w:tabs>
        <w:spacing w:after="0" w:line="240" w:lineRule="auto"/>
        <w:ind w:left="-142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от Общества с ограниченной ответственностью «МЕЧЕЛ-ЭНЕРГО» на обслуживание к гарантирующему поставщику</w:t>
      </w:r>
    </w:p>
    <w:p w:rsidR="00E511D5" w:rsidRDefault="00034E63">
      <w:pPr>
        <w:tabs>
          <w:tab w:val="left" w:pos="-284"/>
        </w:tabs>
        <w:spacing w:after="0" w:line="240" w:lineRule="auto"/>
        <w:ind w:left="-142"/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ПАО «Саратовэнерго»</w:t>
      </w:r>
    </w:p>
    <w:p w:rsidR="00E511D5" w:rsidRDefault="00E511D5">
      <w:pPr>
        <w:tabs>
          <w:tab w:val="left" w:pos="-284"/>
        </w:tabs>
        <w:spacing w:after="0" w:line="240" w:lineRule="auto"/>
        <w:ind w:left="-142"/>
        <w:jc w:val="both"/>
        <w:rPr>
          <w:rFonts w:ascii="PT Astra Serif" w:hAnsi="PT Astra Serif"/>
          <w:b/>
          <w:sz w:val="28"/>
          <w:szCs w:val="28"/>
        </w:rPr>
      </w:pPr>
    </w:p>
    <w:p w:rsidR="00E511D5" w:rsidRDefault="00034E63">
      <w:pPr>
        <w:tabs>
          <w:tab w:val="left" w:pos="-284"/>
        </w:tabs>
        <w:spacing w:after="0" w:line="240" w:lineRule="auto"/>
        <w:ind w:left="-142"/>
        <w:jc w:val="both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ab/>
      </w:r>
      <w:r>
        <w:rPr>
          <w:rFonts w:ascii="PT Astra Serif" w:hAnsi="PT Astra Serif"/>
          <w:b/>
          <w:bCs/>
          <w:sz w:val="28"/>
          <w:szCs w:val="28"/>
        </w:rPr>
        <w:tab/>
      </w:r>
      <w:proofErr w:type="gramStart"/>
      <w:r>
        <w:rPr>
          <w:rFonts w:ascii="PT Astra Serif" w:hAnsi="PT Astra Serif"/>
          <w:sz w:val="28"/>
          <w:szCs w:val="28"/>
        </w:rPr>
        <w:t xml:space="preserve">На основании абзаца 6 </w:t>
      </w:r>
      <w:r>
        <w:rPr>
          <w:rFonts w:ascii="PT Astra Serif" w:hAnsi="PT Astra Serif"/>
          <w:sz w:val="28"/>
          <w:szCs w:val="28"/>
        </w:rPr>
        <w:t>пункта 15 Основных положений функционирования розничных рынков электрической энергии, утвержденных Постановлением Правительства Российской Федерации от 4 мая 2012 года № 442 (далее – Основные положения), в связи с принятием 28 октября 2026 года Ассоциацией</w:t>
      </w:r>
      <w:r>
        <w:rPr>
          <w:rFonts w:ascii="PT Astra Serif" w:hAnsi="PT Astra Serif"/>
          <w:sz w:val="28"/>
          <w:szCs w:val="28"/>
        </w:rPr>
        <w:t xml:space="preserve"> «НП Совет рынка» решения о лишении ООО «МЕЧЕЛ-ЭНЕРГО» с 01 ноября 2026 статуса субъекта оптового рынка </w:t>
      </w:r>
      <w:r>
        <w:rPr>
          <w:rFonts w:ascii="PT Astra Serif" w:hAnsi="PT Astra Serif"/>
          <w:b/>
          <w:bCs/>
          <w:sz w:val="28"/>
          <w:szCs w:val="28"/>
        </w:rPr>
        <w:t>комитет государственного регулирования тарифов Саратовской области извещает о</w:t>
      </w:r>
      <w:proofErr w:type="gramEnd"/>
      <w:r>
        <w:rPr>
          <w:rFonts w:ascii="PT Astra Serif" w:hAnsi="PT Astra Serif"/>
          <w:b/>
          <w:bCs/>
          <w:sz w:val="28"/>
          <w:szCs w:val="28"/>
        </w:rPr>
        <w:t xml:space="preserve"> </w:t>
      </w:r>
      <w:proofErr w:type="gramStart"/>
      <w:r>
        <w:rPr>
          <w:rFonts w:ascii="PT Astra Serif" w:hAnsi="PT Astra Serif"/>
          <w:b/>
          <w:bCs/>
          <w:sz w:val="28"/>
          <w:szCs w:val="28"/>
        </w:rPr>
        <w:t>принятии</w:t>
      </w:r>
      <w:proofErr w:type="gramEnd"/>
      <w:r>
        <w:rPr>
          <w:rFonts w:ascii="PT Astra Serif" w:hAnsi="PT Astra Serif"/>
          <w:b/>
          <w:bCs/>
          <w:sz w:val="28"/>
          <w:szCs w:val="28"/>
        </w:rPr>
        <w:t xml:space="preserve"> на обслуживание гарантирующим поставщиком ПАО «Саратовэнерго» пот</w:t>
      </w:r>
      <w:r>
        <w:rPr>
          <w:rFonts w:ascii="PT Astra Serif" w:hAnsi="PT Astra Serif"/>
          <w:b/>
          <w:bCs/>
          <w:sz w:val="28"/>
          <w:szCs w:val="28"/>
        </w:rPr>
        <w:t xml:space="preserve">ребителей электрической энергии, </w:t>
      </w:r>
      <w:proofErr w:type="spellStart"/>
      <w:r>
        <w:rPr>
          <w:rFonts w:ascii="PT Astra Serif" w:hAnsi="PT Astra Serif"/>
          <w:b/>
          <w:bCs/>
          <w:sz w:val="28"/>
          <w:szCs w:val="28"/>
        </w:rPr>
        <w:t>энергопринимающие</w:t>
      </w:r>
      <w:proofErr w:type="spellEnd"/>
      <w:r>
        <w:rPr>
          <w:rFonts w:ascii="PT Astra Serif" w:hAnsi="PT Astra Serif"/>
          <w:b/>
          <w:bCs/>
          <w:sz w:val="28"/>
          <w:szCs w:val="28"/>
        </w:rPr>
        <w:t xml:space="preserve"> устройства которых расположены в границах зоны деятельности ООО «МЕЧЕЛ-ЭНЕРГО» в точке поставки ООО «ЭТПЗ» (PMECHE23). </w:t>
      </w:r>
    </w:p>
    <w:p w:rsidR="00E511D5" w:rsidRDefault="00E511D5">
      <w:pPr>
        <w:tabs>
          <w:tab w:val="left" w:pos="-284"/>
        </w:tabs>
        <w:spacing w:after="0" w:line="240" w:lineRule="auto"/>
        <w:ind w:left="-142"/>
        <w:jc w:val="center"/>
        <w:rPr>
          <w:rFonts w:ascii="PT Astra Serif" w:hAnsi="PT Astra Serif"/>
          <w:sz w:val="28"/>
          <w:szCs w:val="28"/>
        </w:rPr>
      </w:pPr>
    </w:p>
    <w:p w:rsidR="00E511D5" w:rsidRDefault="00034E63">
      <w:pPr>
        <w:tabs>
          <w:tab w:val="left" w:pos="-284"/>
        </w:tabs>
        <w:spacing w:after="0" w:line="240" w:lineRule="auto"/>
        <w:ind w:left="-142" w:firstLine="851"/>
        <w:jc w:val="both"/>
        <w:rPr>
          <w:rFonts w:ascii="PT Astra Serif" w:hAnsi="PT Astra Serif"/>
          <w:sz w:val="28"/>
          <w:szCs w:val="28"/>
          <w:highlight w:val="white"/>
        </w:rPr>
      </w:pPr>
      <w:r>
        <w:rPr>
          <w:rFonts w:ascii="PT Astra Serif" w:hAnsi="PT Astra Serif"/>
          <w:sz w:val="28"/>
          <w:szCs w:val="28"/>
          <w:highlight w:val="white"/>
        </w:rPr>
        <w:t xml:space="preserve">1. </w:t>
      </w:r>
      <w:r>
        <w:rPr>
          <w:rFonts w:ascii="PT Astra Serif" w:hAnsi="PT Astra Serif"/>
          <w:sz w:val="28"/>
          <w:szCs w:val="28"/>
          <w:highlight w:val="white"/>
          <w:lang w:eastAsia="en-US"/>
        </w:rPr>
        <w:t xml:space="preserve">Наименование и платежные реквизиты гарантирующего поставщика, обязанного принять </w:t>
      </w:r>
      <w:r>
        <w:rPr>
          <w:rFonts w:ascii="PT Astra Serif" w:hAnsi="PT Astra Serif"/>
          <w:sz w:val="28"/>
          <w:szCs w:val="28"/>
          <w:highlight w:val="white"/>
          <w:lang w:eastAsia="en-US"/>
        </w:rPr>
        <w:t xml:space="preserve">на обслуживание потребителей, </w:t>
      </w:r>
      <w:proofErr w:type="spellStart"/>
      <w:r>
        <w:rPr>
          <w:rFonts w:ascii="PT Astra Serif" w:hAnsi="PT Astra Serif"/>
          <w:sz w:val="28"/>
          <w:szCs w:val="28"/>
          <w:highlight w:val="white"/>
          <w:lang w:eastAsia="en-US"/>
        </w:rPr>
        <w:t>энергопринимающие</w:t>
      </w:r>
      <w:proofErr w:type="spellEnd"/>
      <w:r>
        <w:rPr>
          <w:rFonts w:ascii="PT Astra Serif" w:hAnsi="PT Astra Serif"/>
          <w:sz w:val="28"/>
          <w:szCs w:val="28"/>
          <w:highlight w:val="white"/>
          <w:lang w:eastAsia="en-US"/>
        </w:rPr>
        <w:t xml:space="preserve"> устройства которых расположены в границах зоны его деятельности:</w:t>
      </w:r>
    </w:p>
    <w:p w:rsidR="00E511D5" w:rsidRDefault="00034E63">
      <w:pPr>
        <w:tabs>
          <w:tab w:val="left" w:pos="-284"/>
        </w:tabs>
        <w:spacing w:after="0" w:line="240" w:lineRule="auto"/>
        <w:ind w:left="-142" w:firstLine="851"/>
        <w:rPr>
          <w:rFonts w:ascii="PT Astra Serif" w:hAnsi="PT Astra Serif"/>
          <w:sz w:val="28"/>
          <w:szCs w:val="28"/>
          <w:highlight w:val="white"/>
        </w:rPr>
      </w:pPr>
      <w:r>
        <w:rPr>
          <w:rFonts w:ascii="PT Astra Serif" w:hAnsi="PT Astra Serif"/>
          <w:sz w:val="28"/>
          <w:szCs w:val="28"/>
          <w:highlight w:val="white"/>
          <w:lang w:eastAsia="en-US"/>
        </w:rPr>
        <w:t>платежные реквизиты ПАО «Саратовэнерго»:</w:t>
      </w:r>
    </w:p>
    <w:p w:rsidR="00E511D5" w:rsidRDefault="00034E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284"/>
        </w:tabs>
        <w:spacing w:after="0" w:line="240" w:lineRule="auto"/>
        <w:ind w:left="709"/>
        <w:rPr>
          <w:rFonts w:ascii="PT Astra Serif" w:hAnsi="PT Astra Serif"/>
          <w:sz w:val="28"/>
          <w:szCs w:val="28"/>
          <w:highlight w:val="white"/>
        </w:rPr>
      </w:pPr>
      <w:r>
        <w:rPr>
          <w:rFonts w:ascii="PT Astra Serif" w:hAnsi="PT Astra Serif"/>
          <w:sz w:val="28"/>
          <w:szCs w:val="28"/>
          <w:highlight w:val="white"/>
          <w:lang w:eastAsia="en-US"/>
        </w:rPr>
        <w:t>ПАО «Саратовэнерго» </w:t>
      </w:r>
    </w:p>
    <w:p w:rsidR="00E511D5" w:rsidRDefault="00034E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284"/>
        </w:tabs>
        <w:spacing w:after="0" w:line="240" w:lineRule="auto"/>
        <w:ind w:left="709"/>
        <w:rPr>
          <w:rFonts w:ascii="PT Astra Serif" w:hAnsi="PT Astra Serif"/>
          <w:sz w:val="28"/>
          <w:szCs w:val="28"/>
          <w:highlight w:val="white"/>
        </w:rPr>
      </w:pPr>
      <w:r>
        <w:rPr>
          <w:rFonts w:ascii="PT Astra Serif" w:hAnsi="PT Astra Serif"/>
          <w:sz w:val="28"/>
          <w:szCs w:val="28"/>
          <w:highlight w:val="white"/>
          <w:lang w:eastAsia="en-US"/>
        </w:rPr>
        <w:t xml:space="preserve">410002, Саратовская область, Г.О. город Саратов, г. Саратов, </w:t>
      </w:r>
      <w:proofErr w:type="spellStart"/>
      <w:proofErr w:type="gramStart"/>
      <w:r>
        <w:rPr>
          <w:rFonts w:ascii="PT Astra Serif" w:hAnsi="PT Astra Serif"/>
          <w:sz w:val="28"/>
          <w:szCs w:val="28"/>
          <w:highlight w:val="white"/>
          <w:lang w:eastAsia="en-US"/>
        </w:rPr>
        <w:t>ул</w:t>
      </w:r>
      <w:proofErr w:type="spellEnd"/>
      <w:proofErr w:type="gramEnd"/>
      <w:r>
        <w:rPr>
          <w:rFonts w:ascii="PT Astra Serif" w:hAnsi="PT Astra Serif"/>
          <w:sz w:val="28"/>
          <w:szCs w:val="28"/>
          <w:highlight w:val="white"/>
          <w:lang w:eastAsia="en-US"/>
        </w:rPr>
        <w:t xml:space="preserve"> им. Мичурина И.В.</w:t>
      </w:r>
      <w:r>
        <w:rPr>
          <w:rFonts w:ascii="PT Astra Serif" w:hAnsi="PT Astra Serif"/>
          <w:sz w:val="28"/>
          <w:szCs w:val="28"/>
          <w:highlight w:val="white"/>
          <w:lang w:eastAsia="en-US"/>
        </w:rPr>
        <w:t>, д. 166/168</w:t>
      </w:r>
      <w:r>
        <w:rPr>
          <w:rFonts w:ascii="PT Astra Serif" w:hAnsi="PT Astra Serif"/>
          <w:sz w:val="28"/>
          <w:szCs w:val="28"/>
          <w:highlight w:val="white"/>
          <w:lang w:eastAsia="en-US"/>
        </w:rPr>
        <w:br/>
        <w:t>ОГРН 1026402199636</w:t>
      </w:r>
      <w:r>
        <w:rPr>
          <w:rFonts w:ascii="PT Astra Serif" w:hAnsi="PT Astra Serif"/>
          <w:sz w:val="28"/>
          <w:szCs w:val="28"/>
          <w:highlight w:val="white"/>
          <w:lang w:eastAsia="en-US"/>
        </w:rPr>
        <w:br/>
        <w:t>ОКПО 00103355</w:t>
      </w:r>
      <w:r>
        <w:rPr>
          <w:rFonts w:ascii="PT Astra Serif" w:hAnsi="PT Astra Serif"/>
          <w:sz w:val="28"/>
          <w:szCs w:val="28"/>
          <w:highlight w:val="white"/>
          <w:lang w:eastAsia="en-US"/>
        </w:rPr>
        <w:br/>
        <w:t>ИНН 6450014808</w:t>
      </w:r>
      <w:r>
        <w:rPr>
          <w:rFonts w:ascii="PT Astra Serif" w:hAnsi="PT Astra Serif"/>
          <w:sz w:val="28"/>
          <w:szCs w:val="28"/>
          <w:highlight w:val="white"/>
          <w:lang w:eastAsia="en-US"/>
        </w:rPr>
        <w:br/>
        <w:t>КПП 785150001</w:t>
      </w:r>
      <w:r>
        <w:rPr>
          <w:rFonts w:ascii="PT Astra Serif" w:hAnsi="PT Astra Serif"/>
          <w:sz w:val="28"/>
          <w:szCs w:val="28"/>
          <w:highlight w:val="white"/>
          <w:lang w:eastAsia="en-US"/>
        </w:rPr>
        <w:br/>
        <w:t>Р/</w:t>
      </w:r>
      <w:proofErr w:type="spellStart"/>
      <w:r>
        <w:rPr>
          <w:rFonts w:ascii="PT Astra Serif" w:hAnsi="PT Astra Serif"/>
          <w:sz w:val="28"/>
          <w:szCs w:val="28"/>
          <w:highlight w:val="white"/>
          <w:lang w:eastAsia="en-US"/>
        </w:rPr>
        <w:t>сч</w:t>
      </w:r>
      <w:proofErr w:type="spellEnd"/>
      <w:r>
        <w:rPr>
          <w:rFonts w:ascii="PT Astra Serif" w:hAnsi="PT Astra Serif"/>
          <w:sz w:val="28"/>
          <w:szCs w:val="28"/>
          <w:highlight w:val="white"/>
          <w:lang w:eastAsia="en-US"/>
        </w:rPr>
        <w:t>   40702810940000073851</w:t>
      </w:r>
      <w:r>
        <w:rPr>
          <w:rFonts w:ascii="PT Astra Serif" w:hAnsi="PT Astra Serif"/>
          <w:sz w:val="28"/>
          <w:szCs w:val="28"/>
          <w:highlight w:val="white"/>
          <w:lang w:eastAsia="en-US"/>
        </w:rPr>
        <w:br/>
        <w:t>Банк: ПАО Сбербанк</w:t>
      </w:r>
      <w:r>
        <w:rPr>
          <w:rFonts w:ascii="PT Astra Serif" w:hAnsi="PT Astra Serif"/>
          <w:sz w:val="28"/>
          <w:szCs w:val="28"/>
          <w:highlight w:val="white"/>
          <w:lang w:eastAsia="en-US"/>
        </w:rPr>
        <w:br/>
        <w:t>БИК   044525225</w:t>
      </w:r>
      <w:r>
        <w:rPr>
          <w:rFonts w:ascii="PT Astra Serif" w:hAnsi="PT Astra Serif"/>
          <w:sz w:val="28"/>
          <w:szCs w:val="28"/>
          <w:highlight w:val="white"/>
          <w:lang w:eastAsia="en-US"/>
        </w:rPr>
        <w:br/>
        <w:t>Кор/</w:t>
      </w:r>
      <w:proofErr w:type="spellStart"/>
      <w:r>
        <w:rPr>
          <w:rFonts w:ascii="PT Astra Serif" w:hAnsi="PT Astra Serif"/>
          <w:sz w:val="28"/>
          <w:szCs w:val="28"/>
          <w:highlight w:val="white"/>
          <w:lang w:eastAsia="en-US"/>
        </w:rPr>
        <w:t>сч</w:t>
      </w:r>
      <w:proofErr w:type="spellEnd"/>
      <w:r>
        <w:rPr>
          <w:rFonts w:ascii="PT Astra Serif" w:hAnsi="PT Astra Serif"/>
          <w:sz w:val="28"/>
          <w:szCs w:val="28"/>
          <w:highlight w:val="white"/>
          <w:lang w:eastAsia="en-US"/>
        </w:rPr>
        <w:t xml:space="preserve"> 30101810400000000225</w:t>
      </w:r>
    </w:p>
    <w:p w:rsidR="00E511D5" w:rsidRDefault="00034E63">
      <w:pPr>
        <w:tabs>
          <w:tab w:val="left" w:pos="-284"/>
        </w:tabs>
        <w:spacing w:after="0" w:line="240" w:lineRule="auto"/>
        <w:ind w:left="-142" w:firstLine="851"/>
        <w:jc w:val="both"/>
        <w:rPr>
          <w:rFonts w:ascii="PT Astra Serif" w:hAnsi="PT Astra Serif"/>
          <w:sz w:val="28"/>
          <w:szCs w:val="28"/>
          <w:highlight w:val="white"/>
        </w:rPr>
      </w:pPr>
      <w:r>
        <w:rPr>
          <w:highlight w:val="white"/>
        </w:rPr>
        <w:br/>
      </w:r>
      <w:r>
        <w:rPr>
          <w:rFonts w:ascii="PT Astra Serif" w:hAnsi="PT Astra Serif"/>
          <w:sz w:val="28"/>
          <w:szCs w:val="28"/>
          <w:highlight w:val="white"/>
        </w:rPr>
        <w:tab/>
      </w:r>
      <w:r>
        <w:rPr>
          <w:rFonts w:ascii="PT Astra Serif" w:hAnsi="PT Astra Serif"/>
          <w:sz w:val="28"/>
          <w:szCs w:val="28"/>
          <w:highlight w:val="white"/>
        </w:rPr>
        <w:tab/>
        <w:t>2. Переход покупателей электрической энергии к гарантирующему поставщику осуществляется</w:t>
      </w:r>
      <w:r>
        <w:rPr>
          <w:rFonts w:ascii="PT Astra Serif" w:hAnsi="PT Astra Serif"/>
          <w:sz w:val="28"/>
          <w:szCs w:val="28"/>
          <w:highlight w:val="white"/>
        </w:rPr>
        <w:t xml:space="preserve"> с 7 ноября 2026 года в 00-01 часов.</w:t>
      </w:r>
    </w:p>
    <w:p w:rsidR="00E511D5" w:rsidRDefault="00034E63">
      <w:pPr>
        <w:tabs>
          <w:tab w:val="left" w:pos="-284"/>
        </w:tabs>
        <w:spacing w:after="0" w:line="240" w:lineRule="auto"/>
        <w:ind w:left="-142" w:firstLine="851"/>
        <w:jc w:val="both"/>
        <w:rPr>
          <w:rFonts w:ascii="PT Astra Serif" w:hAnsi="PT Astra Serif"/>
          <w:i/>
          <w:sz w:val="28"/>
          <w:szCs w:val="28"/>
        </w:rPr>
      </w:pPr>
      <w:r>
        <w:rPr>
          <w:rFonts w:ascii="PT Astra Serif" w:hAnsi="PT Astra Serif"/>
          <w:sz w:val="28"/>
          <w:szCs w:val="28"/>
          <w:highlight w:val="white"/>
        </w:rPr>
        <w:t>3. Лицам, ответственным за снятие показаний приборов учета (сетевым организациям, потребителям), необходимо произвести снятие показаний приборов учета на указанную дату и время и передать эти данные не позднее 2 месяцев</w:t>
      </w:r>
      <w:r>
        <w:rPr>
          <w:rFonts w:ascii="PT Astra Serif" w:hAnsi="PT Astra Serif"/>
          <w:sz w:val="28"/>
          <w:szCs w:val="28"/>
          <w:highlight w:val="white"/>
        </w:rPr>
        <w:t xml:space="preserve"> с даты снятия в адрес ПАО «Саратовэнерго», </w:t>
      </w:r>
      <w:proofErr w:type="gramStart"/>
      <w:r>
        <w:rPr>
          <w:rFonts w:ascii="PT Astra Serif" w:hAnsi="PT Astra Serif"/>
          <w:sz w:val="28"/>
          <w:szCs w:val="28"/>
          <w:highlight w:val="white"/>
        </w:rPr>
        <w:t>предложение</w:t>
      </w:r>
      <w:proofErr w:type="gramEnd"/>
      <w:r>
        <w:rPr>
          <w:rFonts w:ascii="PT Astra Serif" w:hAnsi="PT Astra Serif"/>
          <w:sz w:val="28"/>
          <w:szCs w:val="28"/>
          <w:highlight w:val="white"/>
        </w:rPr>
        <w:t xml:space="preserve"> о заключении договора которого принято потребителем в соответствии с пунктом 21 Основных положений</w:t>
      </w:r>
      <w:r>
        <w:rPr>
          <w:rFonts w:ascii="PT Astra Serif" w:eastAsiaTheme="minorHAnsi" w:hAnsi="PT Astra Serif"/>
          <w:sz w:val="28"/>
          <w:szCs w:val="28"/>
          <w:highlight w:val="white"/>
          <w:lang w:eastAsia="en-US"/>
        </w:rPr>
        <w:t xml:space="preserve"> функционирования розничных рынков электрической энергии</w:t>
      </w:r>
      <w:r>
        <w:rPr>
          <w:rFonts w:ascii="PT Astra Serif" w:hAnsi="PT Astra Serif"/>
          <w:sz w:val="28"/>
          <w:szCs w:val="28"/>
          <w:highlight w:val="white"/>
        </w:rPr>
        <w:t>, либо в иных случаях - в адрес сетевой органи</w:t>
      </w:r>
      <w:r>
        <w:rPr>
          <w:rFonts w:ascii="PT Astra Serif" w:hAnsi="PT Astra Serif"/>
          <w:sz w:val="28"/>
          <w:szCs w:val="28"/>
          <w:highlight w:val="white"/>
        </w:rPr>
        <w:t>зации, с которой потребителем заключен договор оказания у</w:t>
      </w:r>
      <w:r>
        <w:rPr>
          <w:rFonts w:ascii="PT Astra Serif" w:hAnsi="PT Astra Serif"/>
          <w:sz w:val="28"/>
          <w:szCs w:val="28"/>
        </w:rPr>
        <w:t xml:space="preserve">слуг по передаче электрической энергии, а при не заключении такого </w:t>
      </w:r>
      <w:r>
        <w:rPr>
          <w:rFonts w:ascii="PT Astra Serif" w:hAnsi="PT Astra Serif"/>
          <w:sz w:val="28"/>
          <w:szCs w:val="28"/>
        </w:rPr>
        <w:lastRenderedPageBreak/>
        <w:t xml:space="preserve">договора - в адрес сетевой организации, к объектам электросетевого хозяйства которой присоединены </w:t>
      </w:r>
      <w:proofErr w:type="spellStart"/>
      <w:r>
        <w:rPr>
          <w:rFonts w:ascii="PT Astra Serif" w:hAnsi="PT Astra Serif"/>
          <w:sz w:val="28"/>
          <w:szCs w:val="28"/>
        </w:rPr>
        <w:t>энергопринимающие</w:t>
      </w:r>
      <w:proofErr w:type="spellEnd"/>
      <w:r>
        <w:rPr>
          <w:rFonts w:ascii="PT Astra Serif" w:hAnsi="PT Astra Serif"/>
          <w:sz w:val="28"/>
          <w:szCs w:val="28"/>
        </w:rPr>
        <w:t xml:space="preserve"> устройства потре</w:t>
      </w:r>
      <w:r>
        <w:rPr>
          <w:rFonts w:ascii="PT Astra Serif" w:hAnsi="PT Astra Serif"/>
          <w:sz w:val="28"/>
          <w:szCs w:val="28"/>
        </w:rPr>
        <w:t>бителя.</w:t>
      </w:r>
    </w:p>
    <w:p w:rsidR="00E511D5" w:rsidRDefault="00034E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eastAsiaTheme="minorHAnsi" w:hAnsi="PT Astra Serif"/>
          <w:sz w:val="28"/>
          <w:szCs w:val="28"/>
          <w:lang w:eastAsia="en-US"/>
        </w:rPr>
        <w:t xml:space="preserve">4. </w:t>
      </w:r>
      <w:proofErr w:type="gramStart"/>
      <w:r>
        <w:rPr>
          <w:rFonts w:ascii="PT Astra Serif" w:hAnsi="PT Astra Serif"/>
          <w:sz w:val="28"/>
          <w:szCs w:val="28"/>
        </w:rPr>
        <w:t>Договоры, обеспечивающие продажу электрической энергии (мощности), с условием о продаже электрической энергии (мощности)</w:t>
      </w:r>
      <w:r>
        <w:rPr>
          <w:rFonts w:ascii="PT Astra Serif" w:hAnsi="PT Astra Serif"/>
          <w:sz w:val="28"/>
          <w:szCs w:val="28"/>
          <w:highlight w:val="white"/>
        </w:rPr>
        <w:t>, должны быть заключены потребителем не позднее 20 рабочих дней</w:t>
      </w:r>
      <w:r>
        <w:rPr>
          <w:rFonts w:ascii="PT Astra Serif" w:hAnsi="PT Astra Serif"/>
          <w:sz w:val="28"/>
          <w:szCs w:val="28"/>
        </w:rPr>
        <w:t xml:space="preserve"> со дня получения настоящего извещения, </w:t>
      </w:r>
      <w:r>
        <w:rPr>
          <w:rFonts w:ascii="PT Astra Serif" w:hAnsi="PT Astra Serif"/>
          <w:sz w:val="28"/>
          <w:szCs w:val="28"/>
        </w:rPr>
        <w:t>с условием о начале исполнения такого договора</w:t>
      </w:r>
      <w:r>
        <w:rPr>
          <w:rFonts w:ascii="PT Astra Serif" w:hAnsi="PT Astra Serif"/>
          <w:sz w:val="28"/>
          <w:szCs w:val="28"/>
        </w:rPr>
        <w:br/>
        <w:t>с 01 ноября 2026 года.</w:t>
      </w:r>
      <w:proofErr w:type="gramEnd"/>
    </w:p>
    <w:p w:rsidR="00E511D5" w:rsidRDefault="00034E63">
      <w:pPr>
        <w:tabs>
          <w:tab w:val="left" w:pos="-284"/>
        </w:tabs>
        <w:spacing w:after="0" w:line="240" w:lineRule="auto"/>
        <w:ind w:left="-142" w:firstLine="851"/>
        <w:jc w:val="both"/>
        <w:rPr>
          <w:rFonts w:ascii="PT Astra Serif" w:eastAsiaTheme="minorHAnsi" w:hAnsi="PT Astra Serif"/>
          <w:sz w:val="28"/>
          <w:szCs w:val="28"/>
          <w:highlight w:val="white"/>
        </w:rPr>
      </w:pPr>
      <w:r>
        <w:rPr>
          <w:rFonts w:ascii="PT Astra Serif" w:eastAsiaTheme="minorHAnsi" w:hAnsi="PT Astra Serif"/>
          <w:sz w:val="28"/>
          <w:szCs w:val="28"/>
          <w:highlight w:val="white"/>
          <w:lang w:eastAsia="en-US"/>
        </w:rPr>
        <w:t xml:space="preserve">5. </w:t>
      </w:r>
      <w:r>
        <w:rPr>
          <w:rFonts w:ascii="PT Astra Serif" w:hAnsi="PT Astra Serif"/>
          <w:sz w:val="28"/>
          <w:szCs w:val="28"/>
          <w:highlight w:val="white"/>
        </w:rPr>
        <w:t>В случае не заключения договоров, указанных в пункте 4 настоящего извещения, сетевая организация:</w:t>
      </w:r>
    </w:p>
    <w:p w:rsidR="00E511D5" w:rsidRDefault="00034E63">
      <w:pPr>
        <w:tabs>
          <w:tab w:val="left" w:pos="-284"/>
        </w:tabs>
        <w:spacing w:after="0" w:line="240" w:lineRule="auto"/>
        <w:ind w:left="-142" w:firstLine="85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  <w:highlight w:val="white"/>
        </w:rPr>
        <w:t>выявляет</w:t>
      </w:r>
      <w:r>
        <w:rPr>
          <w:rFonts w:ascii="PT Astra Serif" w:hAnsi="PT Astra Serif"/>
          <w:sz w:val="28"/>
          <w:szCs w:val="28"/>
        </w:rPr>
        <w:t xml:space="preserve"> лиц, которые не заключили договоры, обеспечивающие продажу им электрической энергии (мощности), и при этом фактически потребляют электрическую энергию;</w:t>
      </w:r>
    </w:p>
    <w:p w:rsidR="00E511D5" w:rsidRDefault="00034E63">
      <w:pPr>
        <w:tabs>
          <w:tab w:val="left" w:pos="-284"/>
        </w:tabs>
        <w:spacing w:after="0" w:line="240" w:lineRule="auto"/>
        <w:ind w:left="-142" w:firstLine="85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составляет в установленном Основными положениями порядке акт о неучтенном потреблении электрической эне</w:t>
      </w:r>
      <w:r>
        <w:rPr>
          <w:rFonts w:ascii="PT Astra Serif" w:hAnsi="PT Astra Serif"/>
          <w:sz w:val="28"/>
          <w:szCs w:val="28"/>
        </w:rPr>
        <w:t>ргии;</w:t>
      </w:r>
    </w:p>
    <w:p w:rsidR="00E511D5" w:rsidRDefault="00034E63">
      <w:pPr>
        <w:tabs>
          <w:tab w:val="left" w:pos="-284"/>
        </w:tabs>
        <w:spacing w:after="0" w:line="240" w:lineRule="auto"/>
        <w:ind w:left="-142" w:firstLine="85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рассчитывает в соответствии с Основными положениями</w:t>
      </w:r>
      <w:r>
        <w:rPr>
          <w:rFonts w:ascii="PT Astra Serif" w:eastAsiaTheme="minorHAnsi" w:hAnsi="PT Astra Serif"/>
          <w:sz w:val="28"/>
          <w:szCs w:val="28"/>
          <w:lang w:eastAsia="en-US"/>
        </w:rPr>
        <w:t xml:space="preserve"> функционирования розничных рынков электрической энергии</w:t>
      </w:r>
      <w:r>
        <w:rPr>
          <w:rFonts w:ascii="PT Astra Serif" w:hAnsi="PT Astra Serif"/>
          <w:sz w:val="28"/>
          <w:szCs w:val="28"/>
        </w:rPr>
        <w:t xml:space="preserve"> объемы бездоговорного потребления электрической энергии за период, истекший с даты, установленной для принятия гарантирующим поставщиком на об</w:t>
      </w:r>
      <w:r>
        <w:rPr>
          <w:rFonts w:ascii="PT Astra Serif" w:hAnsi="PT Astra Serif"/>
          <w:sz w:val="28"/>
          <w:szCs w:val="28"/>
        </w:rPr>
        <w:t>служивание потребителей;</w:t>
      </w:r>
    </w:p>
    <w:p w:rsidR="00E511D5" w:rsidRDefault="00034E63">
      <w:pPr>
        <w:tabs>
          <w:tab w:val="left" w:pos="-284"/>
        </w:tabs>
        <w:spacing w:after="0" w:line="240" w:lineRule="auto"/>
        <w:ind w:left="-142" w:firstLine="851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>
        <w:rPr>
          <w:rFonts w:ascii="PT Astra Serif" w:eastAsiaTheme="minorHAnsi" w:hAnsi="PT Astra Serif"/>
          <w:sz w:val="28"/>
          <w:szCs w:val="28"/>
          <w:lang w:eastAsia="en-US"/>
        </w:rPr>
        <w:t>принимает меры по сокращению уровня или прекращению потребления электрической энергии в отсутствие договора и по обеспечению оплаты объемов электрической энергии, потребляемой без заключенного договора лицом, потребляющим электриче</w:t>
      </w:r>
      <w:r>
        <w:rPr>
          <w:rFonts w:ascii="PT Astra Serif" w:eastAsiaTheme="minorHAnsi" w:hAnsi="PT Astra Serif"/>
          <w:sz w:val="28"/>
          <w:szCs w:val="28"/>
          <w:lang w:eastAsia="en-US"/>
        </w:rPr>
        <w:t>скую энергию, путем введения ограничения режима потребления электрической энергии.</w:t>
      </w:r>
    </w:p>
    <w:p w:rsidR="00E511D5" w:rsidRDefault="00E511D5">
      <w:pPr>
        <w:spacing w:after="0" w:line="240" w:lineRule="auto"/>
        <w:ind w:left="708"/>
        <w:jc w:val="both"/>
        <w:rPr>
          <w:rFonts w:ascii="PT Astra Serif" w:hAnsi="PT Astra Serif"/>
          <w:sz w:val="28"/>
          <w:szCs w:val="28"/>
        </w:rPr>
      </w:pPr>
    </w:p>
    <w:p w:rsidR="00E511D5" w:rsidRDefault="00E511D5">
      <w:pPr>
        <w:spacing w:after="0" w:line="240" w:lineRule="auto"/>
        <w:ind w:left="708"/>
        <w:jc w:val="both"/>
        <w:rPr>
          <w:rFonts w:ascii="PT Astra Serif" w:hAnsi="PT Astra Serif"/>
          <w:sz w:val="28"/>
          <w:szCs w:val="28"/>
        </w:rPr>
      </w:pPr>
    </w:p>
    <w:p w:rsidR="00E511D5" w:rsidRDefault="00034E6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Министр области - председатель </w:t>
      </w:r>
    </w:p>
    <w:p w:rsidR="00E511D5" w:rsidRDefault="00034E6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комитета государственного </w:t>
      </w:r>
    </w:p>
    <w:p w:rsidR="00E511D5" w:rsidRDefault="00034E6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регулирования тарифов</w:t>
      </w:r>
    </w:p>
    <w:p w:rsidR="00E511D5" w:rsidRDefault="00034E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Саратовской области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</w:t>
      </w:r>
      <w:r>
        <w:rPr>
          <w:rFonts w:ascii="Times New Roman" w:hAnsi="Times New Roman"/>
          <w:b/>
          <w:sz w:val="28"/>
          <w:szCs w:val="28"/>
        </w:rPr>
        <w:tab/>
        <w:t xml:space="preserve">             Л.Н. Новикова</w:t>
      </w:r>
      <w:bookmarkStart w:id="0" w:name="_GoBack"/>
      <w:bookmarkEnd w:id="0"/>
    </w:p>
    <w:sectPr w:rsidR="00E511D5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E63" w:rsidRDefault="00034E63">
      <w:pPr>
        <w:spacing w:after="0" w:line="240" w:lineRule="auto"/>
      </w:pPr>
      <w:r>
        <w:separator/>
      </w:r>
    </w:p>
  </w:endnote>
  <w:endnote w:type="continuationSeparator" w:id="0">
    <w:p w:rsidR="00034E63" w:rsidRDefault="00034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E63" w:rsidRDefault="00034E63">
      <w:pPr>
        <w:spacing w:after="0" w:line="240" w:lineRule="auto"/>
      </w:pPr>
      <w:r>
        <w:separator/>
      </w:r>
    </w:p>
  </w:footnote>
  <w:footnote w:type="continuationSeparator" w:id="0">
    <w:p w:rsidR="00034E63" w:rsidRDefault="00034E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169B6"/>
    <w:multiLevelType w:val="hybridMultilevel"/>
    <w:tmpl w:val="76F87BCC"/>
    <w:lvl w:ilvl="0" w:tplc="D67CE8C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3A5990">
      <w:start w:val="1"/>
      <w:numFmt w:val="lowerLetter"/>
      <w:lvlText w:val="%2."/>
      <w:lvlJc w:val="left"/>
      <w:pPr>
        <w:ind w:left="1440" w:hanging="360"/>
      </w:pPr>
    </w:lvl>
    <w:lvl w:ilvl="2" w:tplc="5C7C5FC2">
      <w:start w:val="1"/>
      <w:numFmt w:val="lowerRoman"/>
      <w:lvlText w:val="%3."/>
      <w:lvlJc w:val="right"/>
      <w:pPr>
        <w:ind w:left="2160" w:hanging="180"/>
      </w:pPr>
    </w:lvl>
    <w:lvl w:ilvl="3" w:tplc="29169030">
      <w:start w:val="1"/>
      <w:numFmt w:val="decimal"/>
      <w:lvlText w:val="%4."/>
      <w:lvlJc w:val="left"/>
      <w:pPr>
        <w:ind w:left="2880" w:hanging="360"/>
      </w:pPr>
    </w:lvl>
    <w:lvl w:ilvl="4" w:tplc="E7844CA4">
      <w:start w:val="1"/>
      <w:numFmt w:val="lowerLetter"/>
      <w:lvlText w:val="%5."/>
      <w:lvlJc w:val="left"/>
      <w:pPr>
        <w:ind w:left="3600" w:hanging="360"/>
      </w:pPr>
    </w:lvl>
    <w:lvl w:ilvl="5" w:tplc="BEB016AC">
      <w:start w:val="1"/>
      <w:numFmt w:val="lowerRoman"/>
      <w:lvlText w:val="%6."/>
      <w:lvlJc w:val="right"/>
      <w:pPr>
        <w:ind w:left="4320" w:hanging="180"/>
      </w:pPr>
    </w:lvl>
    <w:lvl w:ilvl="6" w:tplc="14A2E3BA">
      <w:start w:val="1"/>
      <w:numFmt w:val="decimal"/>
      <w:lvlText w:val="%7."/>
      <w:lvlJc w:val="left"/>
      <w:pPr>
        <w:ind w:left="5040" w:hanging="360"/>
      </w:pPr>
    </w:lvl>
    <w:lvl w:ilvl="7" w:tplc="1B886FA2">
      <w:start w:val="1"/>
      <w:numFmt w:val="lowerLetter"/>
      <w:lvlText w:val="%8."/>
      <w:lvlJc w:val="left"/>
      <w:pPr>
        <w:ind w:left="5760" w:hanging="360"/>
      </w:pPr>
    </w:lvl>
    <w:lvl w:ilvl="8" w:tplc="24EA80A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A1481D"/>
    <w:multiLevelType w:val="hybridMultilevel"/>
    <w:tmpl w:val="7E5054F0"/>
    <w:lvl w:ilvl="0" w:tplc="EB967220">
      <w:start w:val="1"/>
      <w:numFmt w:val="decimal"/>
      <w:lvlText w:val="%1."/>
      <w:lvlJc w:val="left"/>
      <w:pPr>
        <w:tabs>
          <w:tab w:val="num" w:pos="2250"/>
        </w:tabs>
        <w:ind w:left="2250" w:hanging="1350"/>
      </w:pPr>
      <w:rPr>
        <w:rFonts w:hint="default"/>
      </w:rPr>
    </w:lvl>
    <w:lvl w:ilvl="1" w:tplc="B054FB48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B49A2366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7DE642A2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D1BE0AD0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26ACD7E8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625604A4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58F894EC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C89C9EFC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44646D52"/>
    <w:multiLevelType w:val="hybridMultilevel"/>
    <w:tmpl w:val="5F023254"/>
    <w:lvl w:ilvl="0" w:tplc="34924402">
      <w:start w:val="1"/>
      <w:numFmt w:val="decimal"/>
      <w:lvlText w:val="%1."/>
      <w:lvlJc w:val="left"/>
      <w:pPr>
        <w:ind w:left="1069" w:hanging="360"/>
      </w:pPr>
      <w:rPr>
        <w:b/>
        <w:u w:val="single"/>
      </w:rPr>
    </w:lvl>
    <w:lvl w:ilvl="1" w:tplc="59CA2DEC">
      <w:start w:val="1"/>
      <w:numFmt w:val="lowerLetter"/>
      <w:lvlText w:val="%2."/>
      <w:lvlJc w:val="left"/>
      <w:pPr>
        <w:ind w:left="1789" w:hanging="360"/>
      </w:pPr>
    </w:lvl>
    <w:lvl w:ilvl="2" w:tplc="3DEA8DA4">
      <w:start w:val="1"/>
      <w:numFmt w:val="lowerRoman"/>
      <w:lvlText w:val="%3."/>
      <w:lvlJc w:val="right"/>
      <w:pPr>
        <w:ind w:left="2509" w:hanging="180"/>
      </w:pPr>
    </w:lvl>
    <w:lvl w:ilvl="3" w:tplc="37EEFA72">
      <w:start w:val="1"/>
      <w:numFmt w:val="decimal"/>
      <w:lvlText w:val="%4."/>
      <w:lvlJc w:val="left"/>
      <w:pPr>
        <w:ind w:left="3229" w:hanging="360"/>
      </w:pPr>
    </w:lvl>
    <w:lvl w:ilvl="4" w:tplc="899A7474">
      <w:start w:val="1"/>
      <w:numFmt w:val="lowerLetter"/>
      <w:lvlText w:val="%5."/>
      <w:lvlJc w:val="left"/>
      <w:pPr>
        <w:ind w:left="3949" w:hanging="360"/>
      </w:pPr>
    </w:lvl>
    <w:lvl w:ilvl="5" w:tplc="FA88CCA6">
      <w:start w:val="1"/>
      <w:numFmt w:val="lowerRoman"/>
      <w:lvlText w:val="%6."/>
      <w:lvlJc w:val="right"/>
      <w:pPr>
        <w:ind w:left="4669" w:hanging="180"/>
      </w:pPr>
    </w:lvl>
    <w:lvl w:ilvl="6" w:tplc="8A64A164">
      <w:start w:val="1"/>
      <w:numFmt w:val="decimal"/>
      <w:lvlText w:val="%7."/>
      <w:lvlJc w:val="left"/>
      <w:pPr>
        <w:ind w:left="5389" w:hanging="360"/>
      </w:pPr>
    </w:lvl>
    <w:lvl w:ilvl="7" w:tplc="20606C28">
      <w:start w:val="1"/>
      <w:numFmt w:val="lowerLetter"/>
      <w:lvlText w:val="%8."/>
      <w:lvlJc w:val="left"/>
      <w:pPr>
        <w:ind w:left="6109" w:hanging="360"/>
      </w:pPr>
    </w:lvl>
    <w:lvl w:ilvl="8" w:tplc="D04EF06E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163453"/>
    <w:multiLevelType w:val="hybridMultilevel"/>
    <w:tmpl w:val="355207C2"/>
    <w:lvl w:ilvl="0" w:tplc="EC2E31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A596F2EE">
      <w:start w:val="1"/>
      <w:numFmt w:val="lowerLetter"/>
      <w:lvlText w:val="%2."/>
      <w:lvlJc w:val="left"/>
      <w:pPr>
        <w:ind w:left="1788" w:hanging="360"/>
      </w:pPr>
    </w:lvl>
    <w:lvl w:ilvl="2" w:tplc="55C62462">
      <w:start w:val="1"/>
      <w:numFmt w:val="lowerRoman"/>
      <w:lvlText w:val="%3."/>
      <w:lvlJc w:val="right"/>
      <w:pPr>
        <w:ind w:left="2508" w:hanging="180"/>
      </w:pPr>
    </w:lvl>
    <w:lvl w:ilvl="3" w:tplc="062E6BAE">
      <w:start w:val="1"/>
      <w:numFmt w:val="decimal"/>
      <w:lvlText w:val="%4."/>
      <w:lvlJc w:val="left"/>
      <w:pPr>
        <w:ind w:left="3228" w:hanging="360"/>
      </w:pPr>
    </w:lvl>
    <w:lvl w:ilvl="4" w:tplc="64D6CC7E">
      <w:start w:val="1"/>
      <w:numFmt w:val="lowerLetter"/>
      <w:lvlText w:val="%5."/>
      <w:lvlJc w:val="left"/>
      <w:pPr>
        <w:ind w:left="3948" w:hanging="360"/>
      </w:pPr>
    </w:lvl>
    <w:lvl w:ilvl="5" w:tplc="A2ECCB30">
      <w:start w:val="1"/>
      <w:numFmt w:val="lowerRoman"/>
      <w:lvlText w:val="%6."/>
      <w:lvlJc w:val="right"/>
      <w:pPr>
        <w:ind w:left="4668" w:hanging="180"/>
      </w:pPr>
    </w:lvl>
    <w:lvl w:ilvl="6" w:tplc="83C6D6CE">
      <w:start w:val="1"/>
      <w:numFmt w:val="decimal"/>
      <w:lvlText w:val="%7."/>
      <w:lvlJc w:val="left"/>
      <w:pPr>
        <w:ind w:left="5388" w:hanging="360"/>
      </w:pPr>
    </w:lvl>
    <w:lvl w:ilvl="7" w:tplc="30EE8A38">
      <w:start w:val="1"/>
      <w:numFmt w:val="lowerLetter"/>
      <w:lvlText w:val="%8."/>
      <w:lvlJc w:val="left"/>
      <w:pPr>
        <w:ind w:left="6108" w:hanging="360"/>
      </w:pPr>
    </w:lvl>
    <w:lvl w:ilvl="8" w:tplc="254643EC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126067F"/>
    <w:multiLevelType w:val="hybridMultilevel"/>
    <w:tmpl w:val="EAECF076"/>
    <w:lvl w:ilvl="0" w:tplc="6046E024">
      <w:start w:val="1"/>
      <w:numFmt w:val="decimal"/>
      <w:lvlText w:val="%1."/>
      <w:lvlJc w:val="left"/>
      <w:pPr>
        <w:ind w:left="1070" w:hanging="360"/>
      </w:pPr>
      <w:rPr>
        <w:rFonts w:ascii="PT Astra Serif" w:eastAsia="Lucida Sans Unicode" w:hAnsi="PT Astra Serif" w:cs="Times New Roman"/>
        <w:b/>
        <w:u w:val="none"/>
      </w:rPr>
    </w:lvl>
    <w:lvl w:ilvl="1" w:tplc="6FDA77AA">
      <w:start w:val="1"/>
      <w:numFmt w:val="lowerLetter"/>
      <w:lvlText w:val="%2."/>
      <w:lvlJc w:val="left"/>
      <w:pPr>
        <w:ind w:left="1790" w:hanging="360"/>
      </w:pPr>
    </w:lvl>
    <w:lvl w:ilvl="2" w:tplc="213EAE18">
      <w:start w:val="1"/>
      <w:numFmt w:val="lowerRoman"/>
      <w:lvlText w:val="%3."/>
      <w:lvlJc w:val="right"/>
      <w:pPr>
        <w:ind w:left="2510" w:hanging="180"/>
      </w:pPr>
    </w:lvl>
    <w:lvl w:ilvl="3" w:tplc="5114F4A2">
      <w:start w:val="1"/>
      <w:numFmt w:val="decimal"/>
      <w:lvlText w:val="%4."/>
      <w:lvlJc w:val="left"/>
      <w:pPr>
        <w:ind w:left="3230" w:hanging="360"/>
      </w:pPr>
    </w:lvl>
    <w:lvl w:ilvl="4" w:tplc="7CC62CAE">
      <w:start w:val="1"/>
      <w:numFmt w:val="lowerLetter"/>
      <w:lvlText w:val="%5."/>
      <w:lvlJc w:val="left"/>
      <w:pPr>
        <w:ind w:left="3950" w:hanging="360"/>
      </w:pPr>
    </w:lvl>
    <w:lvl w:ilvl="5" w:tplc="55202F7E">
      <w:start w:val="1"/>
      <w:numFmt w:val="lowerRoman"/>
      <w:lvlText w:val="%6."/>
      <w:lvlJc w:val="right"/>
      <w:pPr>
        <w:ind w:left="4670" w:hanging="180"/>
      </w:pPr>
    </w:lvl>
    <w:lvl w:ilvl="6" w:tplc="58A08490">
      <w:start w:val="1"/>
      <w:numFmt w:val="decimal"/>
      <w:lvlText w:val="%7."/>
      <w:lvlJc w:val="left"/>
      <w:pPr>
        <w:ind w:left="5390" w:hanging="360"/>
      </w:pPr>
    </w:lvl>
    <w:lvl w:ilvl="7" w:tplc="09C2AAAC">
      <w:start w:val="1"/>
      <w:numFmt w:val="lowerLetter"/>
      <w:lvlText w:val="%8."/>
      <w:lvlJc w:val="left"/>
      <w:pPr>
        <w:ind w:left="6110" w:hanging="360"/>
      </w:pPr>
    </w:lvl>
    <w:lvl w:ilvl="8" w:tplc="11C89FA0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7C5A53CD"/>
    <w:multiLevelType w:val="hybridMultilevel"/>
    <w:tmpl w:val="69707460"/>
    <w:lvl w:ilvl="0" w:tplc="F0823C62">
      <w:start w:val="4"/>
      <w:numFmt w:val="decimal"/>
      <w:lvlText w:val="%1."/>
      <w:lvlJc w:val="left"/>
      <w:pPr>
        <w:ind w:left="1259" w:hanging="360"/>
      </w:pPr>
      <w:rPr>
        <w:rFonts w:hint="default"/>
      </w:rPr>
    </w:lvl>
    <w:lvl w:ilvl="1" w:tplc="D0562216">
      <w:start w:val="1"/>
      <w:numFmt w:val="lowerLetter"/>
      <w:lvlText w:val="%2."/>
      <w:lvlJc w:val="left"/>
      <w:pPr>
        <w:ind w:left="1979" w:hanging="360"/>
      </w:pPr>
    </w:lvl>
    <w:lvl w:ilvl="2" w:tplc="F0BAB9F8">
      <w:start w:val="1"/>
      <w:numFmt w:val="lowerRoman"/>
      <w:lvlText w:val="%3."/>
      <w:lvlJc w:val="right"/>
      <w:pPr>
        <w:ind w:left="2699" w:hanging="180"/>
      </w:pPr>
    </w:lvl>
    <w:lvl w:ilvl="3" w:tplc="0010BBF0">
      <w:start w:val="1"/>
      <w:numFmt w:val="decimal"/>
      <w:lvlText w:val="%4."/>
      <w:lvlJc w:val="left"/>
      <w:pPr>
        <w:ind w:left="3419" w:hanging="360"/>
      </w:pPr>
    </w:lvl>
    <w:lvl w:ilvl="4" w:tplc="8F8C86F0">
      <w:start w:val="1"/>
      <w:numFmt w:val="lowerLetter"/>
      <w:lvlText w:val="%5."/>
      <w:lvlJc w:val="left"/>
      <w:pPr>
        <w:ind w:left="4139" w:hanging="360"/>
      </w:pPr>
    </w:lvl>
    <w:lvl w:ilvl="5" w:tplc="2E327C88">
      <w:start w:val="1"/>
      <w:numFmt w:val="lowerRoman"/>
      <w:lvlText w:val="%6."/>
      <w:lvlJc w:val="right"/>
      <w:pPr>
        <w:ind w:left="4859" w:hanging="180"/>
      </w:pPr>
    </w:lvl>
    <w:lvl w:ilvl="6" w:tplc="FEC42C76">
      <w:start w:val="1"/>
      <w:numFmt w:val="decimal"/>
      <w:lvlText w:val="%7."/>
      <w:lvlJc w:val="left"/>
      <w:pPr>
        <w:ind w:left="5579" w:hanging="360"/>
      </w:pPr>
    </w:lvl>
    <w:lvl w:ilvl="7" w:tplc="0268C6D8">
      <w:start w:val="1"/>
      <w:numFmt w:val="lowerLetter"/>
      <w:lvlText w:val="%8."/>
      <w:lvlJc w:val="left"/>
      <w:pPr>
        <w:ind w:left="6299" w:hanging="360"/>
      </w:pPr>
    </w:lvl>
    <w:lvl w:ilvl="8" w:tplc="ED50CD76">
      <w:start w:val="1"/>
      <w:numFmt w:val="lowerRoman"/>
      <w:lvlText w:val="%9."/>
      <w:lvlJc w:val="right"/>
      <w:pPr>
        <w:ind w:left="7019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1D5"/>
    <w:rsid w:val="00034E63"/>
    <w:rsid w:val="007F077A"/>
    <w:rsid w:val="00E5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link w:val="ac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WW-Absatz-Standardschriftart11">
    <w:name w:val="WW-Absatz-Standardschriftart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link w:val="ac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WW-Absatz-Standardschriftart11">
    <w:name w:val="WW-Absatz-Standardschriftart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8EFC2-55B7-471A-A938-DF1D2E328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3119</Characters>
  <Application>Microsoft Office Word</Application>
  <DocSecurity>0</DocSecurity>
  <Lines>25</Lines>
  <Paragraphs>7</Paragraphs>
  <ScaleCrop>false</ScaleCrop>
  <Company>Правительство Саратовской области</Company>
  <LinksUpToDate>false</LinksUpToDate>
  <CharactersWithSpaces>3659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Бирюкова Ольга Викторовна</dc:creator>
  <cp:lastModifiedBy>Гергерт Алеся Владимировна</cp:lastModifiedBy>
  <cp:revision>25</cp:revision>
  <dcterms:created xsi:type="dcterms:W3CDTF">2022-07-28T12:59:00Z</dcterms:created>
  <dcterms:modified xsi:type="dcterms:W3CDTF">2026-11-05T11:19:00Z</dcterms:modified>
</cp:coreProperties>
</file>